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2E1" w:rsidRDefault="002D5F07">
      <w:pPr>
        <w:tabs>
          <w:tab w:val="left" w:pos="708"/>
          <w:tab w:val="left" w:pos="1416"/>
          <w:tab w:val="center" w:pos="4748"/>
        </w:tabs>
        <w:spacing w:before="180" w:after="0" w:line="259" w:lineRule="auto"/>
        <w:ind w:firstLine="425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:rsidR="002F42E1" w:rsidRDefault="002D5F07">
      <w:pPr>
        <w:keepNext/>
        <w:keepLines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 kwartał 2020 roku</w:t>
      </w:r>
    </w:p>
    <w:tbl>
      <w:tblPr>
        <w:tblStyle w:val="a"/>
        <w:tblW w:w="9889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203"/>
      </w:tblGrid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Dofinansowanie z: </w:t>
            </w:r>
          </w:p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Całkowity koszt projektu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Całkowity koszt projektu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- wydatki kwalifikowalne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2F42E1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Okres realizacji projektu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data rozpoczęcia realizacji projektu: 01/01/2018 </w:t>
            </w:r>
          </w:p>
          <w:p w:rsidR="002F42E1" w:rsidRDefault="002D5F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:rsidR="002F42E1" w:rsidRDefault="002D5F07">
      <w:pPr>
        <w:keepNext/>
        <w:keepLines/>
        <w:numPr>
          <w:ilvl w:val="0"/>
          <w:numId w:val="3"/>
        </w:numPr>
        <w:spacing w:before="360" w:after="0" w:line="259" w:lineRule="auto"/>
        <w:ind w:left="284" w:right="282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 xml:space="preserve">Otoczenie prawne </w:t>
      </w:r>
    </w:p>
    <w:p w:rsidR="002F42E1" w:rsidRDefault="002D5F07">
      <w:pPr>
        <w:spacing w:after="0" w:line="240" w:lineRule="auto"/>
        <w:ind w:left="-426" w:right="-568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informacyjnego i zapobiegania wy</w:t>
      </w:r>
      <w:r>
        <w:rPr>
          <w:rFonts w:ascii="Arial" w:eastAsia="Arial" w:hAnsi="Arial" w:cs="Arial"/>
          <w:color w:val="000000"/>
          <w:sz w:val="18"/>
          <w:szCs w:val="18"/>
        </w:rPr>
        <w:t>kluczeniu cyfrowemu w dobie postępu technologicznego oraz stale zwiększającego się dostępu do Internetu. Projekt jest realizowany zgodnie i w oparciu o obecnie obowiązujące akty prawne/ustawy, rozporządzenia.</w:t>
      </w:r>
    </w:p>
    <w:p w:rsidR="002F42E1" w:rsidRDefault="002D5F07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Muzeum Narodowe w Warszawie nie prowadzi i nie </w:t>
      </w:r>
      <w:r>
        <w:rPr>
          <w:rFonts w:ascii="Arial" w:eastAsia="Arial" w:hAnsi="Arial" w:cs="Arial"/>
          <w:color w:val="000000"/>
          <w:sz w:val="18"/>
          <w:szCs w:val="18"/>
        </w:rPr>
        <w:t>przewiduje działań legislacyjnych.</w:t>
      </w:r>
    </w:p>
    <w:p w:rsidR="002F42E1" w:rsidRDefault="002F42E1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:rsidR="002F42E1" w:rsidRDefault="002D5F07">
      <w:pPr>
        <w:keepNext/>
        <w:keepLines/>
        <w:numPr>
          <w:ilvl w:val="0"/>
          <w:numId w:val="3"/>
        </w:numPr>
        <w:spacing w:before="0" w:after="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Postęp finansowy</w:t>
      </w:r>
    </w:p>
    <w:tbl>
      <w:tblPr>
        <w:tblStyle w:val="a0"/>
        <w:tblW w:w="9900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759"/>
        <w:gridCol w:w="3900"/>
        <w:gridCol w:w="3241"/>
      </w:tblGrid>
      <w:tr w:rsidR="002F42E1">
        <w:tc>
          <w:tcPr>
            <w:tcW w:w="2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Czas realizacji projektu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środków wydatkowanych</w:t>
            </w:r>
          </w:p>
        </w:tc>
        <w:tc>
          <w:tcPr>
            <w:tcW w:w="3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środków zaangażowanych</w:t>
            </w:r>
          </w:p>
        </w:tc>
      </w:tr>
      <w:tr w:rsidR="002F42E1">
        <w:trPr>
          <w:trHeight w:val="450"/>
        </w:trPr>
        <w:tc>
          <w:tcPr>
            <w:tcW w:w="2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75.00%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62,97%</w:t>
            </w:r>
          </w:p>
          <w:p w:rsidR="002F42E1" w:rsidRDefault="002D5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44,42%</w:t>
            </w:r>
          </w:p>
          <w:p w:rsidR="002F42E1" w:rsidRDefault="002D5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53,03%</w:t>
            </w:r>
          </w:p>
        </w:tc>
        <w:tc>
          <w:tcPr>
            <w:tcW w:w="3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79%</w:t>
            </w:r>
          </w:p>
        </w:tc>
      </w:tr>
    </w:tbl>
    <w:p w:rsidR="002F42E1" w:rsidRDefault="002F42E1">
      <w:pPr>
        <w:spacing w:before="0" w:after="0" w:line="240" w:lineRule="auto"/>
        <w:rPr>
          <w:rFonts w:ascii="Arial" w:eastAsia="Arial" w:hAnsi="Arial" w:cs="Arial"/>
          <w:b/>
          <w:smallCaps/>
          <w:sz w:val="24"/>
          <w:szCs w:val="24"/>
        </w:rPr>
      </w:pPr>
    </w:p>
    <w:p w:rsidR="002F42E1" w:rsidRDefault="002D5F07">
      <w:pPr>
        <w:keepNext/>
        <w:keepLines/>
        <w:numPr>
          <w:ilvl w:val="0"/>
          <w:numId w:val="3"/>
        </w:numPr>
        <w:spacing w:before="0"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Postęp rzeczowy</w:t>
      </w:r>
    </w:p>
    <w:p w:rsidR="002F42E1" w:rsidRDefault="002D5F07">
      <w:pPr>
        <w:spacing w:after="12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Kamienie milowe</w:t>
      </w:r>
    </w:p>
    <w:tbl>
      <w:tblPr>
        <w:tblStyle w:val="a1"/>
        <w:tblW w:w="10632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1819"/>
        <w:gridCol w:w="1286"/>
        <w:gridCol w:w="1367"/>
        <w:gridCol w:w="3670"/>
      </w:tblGrid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before="0"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2F42E1" w:rsidRDefault="002F42E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Rozpoczęcie instalowania sprzętu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digitalizacyjnego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Pośrednio powiązane z 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(19 068,00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7 (12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2F42E1" w:rsidRDefault="002F42E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  <w:p w:rsidR="002F42E1" w:rsidRDefault="002F42E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:rsidR="002F42E1" w:rsidRDefault="002D5F07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przedłużająca się ocena dokumentacji konkursowej i podpisanie umowy dopiero we wrześniu 2018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rozpoczęcie zadania musiało być poprzedzone wyłonienie Wykonawcy na Doradztwo i przygotowanie dokumentacji przetargów publicznych w ramac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 projektu (6 przetargów)- zad.2.2.</w:t>
            </w:r>
          </w:p>
          <w:p w:rsidR="002F42E1" w:rsidRDefault="002D5F07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konieczna była aktualizacja listy sprzętu, Muzeum w 2017 z własnych środków dokonało zakupu oprogramowania i uzyskanie zgody IP na zmiany</w:t>
            </w:r>
          </w:p>
          <w:p w:rsidR="002F42E1" w:rsidRDefault="002D5F07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wydłużony proces przeprowadzenia procedury przetargowej: opracowanie SIWZ, kon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trola ex-ante (dokumenty zostały przekazane do IP w dn.28 czerwca br.,zaś wyniki Muzeum otrzymało w dn.10 sierpnia), ogłoszenie przetargowe, weryfikacja ofert i podpisanie umów z Wykonawcami - i terminy wynikające z zapisów ustawy PZP wydłużyły czas i równ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ież miały wpływ na założone pierwotnie daty osiągnięcia Kamieni milowych.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infrastruktury IT niezbędnej do digitalizacji. Opóźnienie pozyskania i wdrożenia infrastruktury IT  wpłynęło na opóźnienie instalacji nowego sprzętu,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Pomimo, iż dostawcy wyłonienie w ramach przetargu sukcesywnie dostarczali sprzęt IT i oprogramowanie kompu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terowe na początku września, ostateczne uruchomienie sprzętu możliwe było dopiero po odbiorze komputerów i przenośnych stacji roboczych (data odbioru: 05.10.br.)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Brak bezpośredniego powiązania zadania ze wskaźnikami. Zadanie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2F42E1" w:rsidRDefault="002F42E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stanowisk digitalizacyjnych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osiągnięty </w:t>
            </w:r>
          </w:p>
          <w:p w:rsidR="002F42E1" w:rsidRDefault="002F42E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F42E1">
        <w:trPr>
          <w:trHeight w:val="373"/>
        </w:trPr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Opracowanie metadanych, opisów popularyzatorskich oraz tłumaczeń dla zdigitalizowanych zbiorów do udostępnienia online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informatyczne związane z budową serwisu internetowego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w trakcie realizacji 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(50% prac zostało oddanych protokołem z dn. 20.12.19 r.)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bookmarkStart w:id="1" w:name="gjdgxs" w:colFirst="0" w:colLast="0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Informacja i promocja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2F42E1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Zakończenie kampanii promocyjnej wraz z ewaluacją projektu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2F42E1" w:rsidRDefault="002F42E1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</w:tbl>
    <w:p w:rsidR="002F42E1" w:rsidRDefault="002F42E1">
      <w:pPr>
        <w:spacing w:after="0" w:line="240" w:lineRule="auto"/>
        <w:ind w:left="-567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2F42E1" w:rsidRDefault="002D5F07">
      <w:pPr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18"/>
          <w:szCs w:val="18"/>
        </w:rPr>
        <w:t>*UWAGA</w:t>
      </w:r>
      <w:r>
        <w:rPr>
          <w:rFonts w:ascii="Arial" w:eastAsia="Arial" w:hAnsi="Arial" w:cs="Arial"/>
          <w:color w:val="000000"/>
          <w:sz w:val="18"/>
          <w:szCs w:val="18"/>
        </w:rPr>
        <w:t>: w dniu 5 grudnia 2018 r. Muzeum Narodowe w Warszawie podpisało z Centrum Projektów Polska Cyfrowa Aneks nr POPC.02.03.02-00-0008/17-02 do Umowy o dofinansowanie nr POPC.02.03.02-00-0008/17-00, w którym integralną częścią jest zaktualizowany o terminy rea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lizacji Harmonogram Projektu wyznaczający Kamienie milowe – załącznik nr 6. </w:t>
      </w:r>
    </w:p>
    <w:p w:rsidR="002F42E1" w:rsidRDefault="002D5F07">
      <w:pPr>
        <w:spacing w:after="0" w:line="240" w:lineRule="auto"/>
        <w:ind w:left="-567" w:right="-285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kolumnie „Status realizacji kamienia milowego” przy zadaniach, w których widniały przekroczenia terminów osiągnięcia zadania dodano uzasadnienie z ww. harmonogramu do Aneksu. </w:t>
      </w:r>
    </w:p>
    <w:p w:rsidR="002F42E1" w:rsidRDefault="002F42E1">
      <w:pPr>
        <w:spacing w:before="240" w:after="120"/>
        <w:rPr>
          <w:rFonts w:ascii="Arial" w:eastAsia="Arial" w:hAnsi="Arial" w:cs="Arial"/>
          <w:b/>
        </w:rPr>
      </w:pPr>
    </w:p>
    <w:p w:rsidR="002F42E1" w:rsidRDefault="002F42E1">
      <w:pPr>
        <w:spacing w:before="240" w:after="120"/>
        <w:rPr>
          <w:rFonts w:ascii="Arial" w:eastAsia="Arial" w:hAnsi="Arial" w:cs="Arial"/>
          <w:b/>
        </w:rPr>
      </w:pPr>
    </w:p>
    <w:p w:rsidR="002F42E1" w:rsidRDefault="002D5F07">
      <w:pPr>
        <w:spacing w:before="24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9Wskaźniki efektywności projektu (KPI)</w:t>
      </w:r>
    </w:p>
    <w:tbl>
      <w:tblPr>
        <w:tblStyle w:val="a2"/>
        <w:tblW w:w="10178" w:type="dxa"/>
        <w:tblInd w:w="-6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851"/>
        <w:gridCol w:w="1275"/>
        <w:gridCol w:w="1701"/>
        <w:gridCol w:w="2269"/>
      </w:tblGrid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Liczba zdigitalizowanych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15 732,00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42E1">
        <w:trPr>
          <w:trHeight w:val="34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6. Liczba pobrań/odtworzeń dokumentów zawierających informacje sektora publicznego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8,90 </w:t>
            </w:r>
          </w:p>
        </w:tc>
      </w:tr>
      <w:tr w:rsidR="002F42E1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42E1">
        <w:trPr>
          <w:trHeight w:val="41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2F42E1" w:rsidRDefault="002D5F07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</w:pPr>
      <w:r>
        <w:rPr>
          <w:rFonts w:ascii="Arial" w:eastAsia="Arial" w:hAnsi="Arial" w:cs="Arial"/>
          <w:b/>
          <w:sz w:val="24"/>
          <w:szCs w:val="24"/>
        </w:rPr>
        <w:t>E-usługi A2A, A2B, A2C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p w:rsidR="002F42E1" w:rsidRDefault="002D5F07">
      <w:pPr>
        <w:spacing w:after="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 DOTYCZY</w:t>
      </w:r>
    </w:p>
    <w:p w:rsidR="002F42E1" w:rsidRDefault="002D5F07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</w:pPr>
      <w:r>
        <w:rPr>
          <w:rFonts w:ascii="Arial" w:eastAsia="Arial" w:hAnsi="Arial" w:cs="Arial"/>
          <w:b/>
          <w:sz w:val="24"/>
          <w:szCs w:val="24"/>
        </w:rPr>
        <w:t>E-usługi A2A, A2B, A2C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tbl>
      <w:tblPr>
        <w:tblStyle w:val="a3"/>
        <w:tblW w:w="10276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0"/>
        <w:gridCol w:w="1532"/>
        <w:gridCol w:w="1699"/>
        <w:gridCol w:w="3155"/>
      </w:tblGrid>
      <w:tr w:rsidR="002F42E1">
        <w:trPr>
          <w:jc w:val="center"/>
        </w:trPr>
        <w:tc>
          <w:tcPr>
            <w:tcW w:w="3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Opis zmian</w:t>
            </w:r>
          </w:p>
        </w:tc>
      </w:tr>
      <w:tr w:rsidR="002F42E1">
        <w:trPr>
          <w:jc w:val="center"/>
        </w:trPr>
        <w:tc>
          <w:tcPr>
            <w:tcW w:w="3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Zdigitalizowane i udostępnione zbiory łącznie 60 000 obiektów w formie ok. 200 000 plików cyfrowych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MNW nie wprowadza zmian</w:t>
            </w:r>
          </w:p>
        </w:tc>
      </w:tr>
    </w:tbl>
    <w:p w:rsidR="002F42E1" w:rsidRDefault="002D5F07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</w:pPr>
      <w:r>
        <w:rPr>
          <w:rFonts w:ascii="Arial" w:eastAsia="Arial" w:hAnsi="Arial" w:cs="Arial"/>
          <w:b/>
          <w:sz w:val="24"/>
          <w:szCs w:val="24"/>
        </w:rPr>
        <w:t>E-usługi A2A, A2B, A2C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tbl>
      <w:tblPr>
        <w:tblStyle w:val="a4"/>
        <w:tblW w:w="10277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590"/>
        <w:gridCol w:w="1485"/>
        <w:gridCol w:w="4832"/>
      </w:tblGrid>
      <w:tr w:rsidR="002F42E1">
        <w:trPr>
          <w:trHeight w:val="530"/>
          <w:jc w:val="center"/>
        </w:trPr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Komplementarność względem produktów innych projektów </w:t>
            </w:r>
          </w:p>
        </w:tc>
      </w:tr>
      <w:tr w:rsidR="002F42E1">
        <w:trPr>
          <w:trHeight w:val="4228"/>
          <w:jc w:val="center"/>
        </w:trPr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Nowoczesny serwis internetowy umożliwiający udostępnianie w formie cyfrowej zbiorów Muzeum Narodowego w Warszawie z otwartym API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10/2020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F42E1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KRONIK@ - Krajowe Repozytorium Obiektów Nauki i Kultury.</w:t>
            </w:r>
          </w:p>
          <w:p w:rsidR="002F42E1" w:rsidRDefault="002D5F07">
            <w:pPr>
              <w:spacing w:after="0" w:line="240" w:lineRule="auto"/>
              <w:ind w:left="3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Dzięki otwartości danych możliwe będzie nawiązanie współpracy z krajowymi i zagranicznymi repozytoriami. Wykorzystanie usług, systemów, platform innych podmiotów będzie miało również miejsce na etapie udostępniania zdigitalizowanych zbiorów. Publikowanie 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gromadzonych danych cyfrowych będzie mogło odbywać się w sposób zautomatyzowany na dedykowanych stronach internetowych np.: Europeana, Kronik@. 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Fotografie wykonane w ramach projektu „2. Rearanżacja stałej ekspozycji Galerii Sztuki Starożytnej Muzeum Narod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owego w Warszawie” - Program Operacyjny Infrastruktura i Środowisko 2014─2020, Działanie 8.1 Ochrona dziedzictwa kulturowego i rozwój zasobów kultury, fotografie będą opublikowane w nowym serwisie</w:t>
            </w:r>
          </w:p>
        </w:tc>
      </w:tr>
    </w:tbl>
    <w:p w:rsidR="002F42E1" w:rsidRDefault="002D5F07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Ryzyka</w:t>
      </w:r>
    </w:p>
    <w:p w:rsidR="002F42E1" w:rsidRDefault="002D5F07">
      <w:pPr>
        <w:spacing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Ryzyka wpływające na realizację projektu</w:t>
      </w:r>
    </w:p>
    <w:tbl>
      <w:tblPr>
        <w:tblStyle w:val="a5"/>
        <w:tblW w:w="10206" w:type="dxa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558"/>
        <w:gridCol w:w="1843"/>
        <w:gridCol w:w="4112"/>
      </w:tblGrid>
      <w:tr w:rsidR="002F42E1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Nazwa ryzy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2F42E1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dzania wniosku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2F42E1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sie danego ryzyka w stosunku do poprzedniego okresu sprawozdawczego.&gt;</w:t>
            </w:r>
          </w:p>
        </w:tc>
      </w:tr>
      <w:tr w:rsidR="002F42E1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</w:t>
            </w:r>
            <w:r>
              <w:rPr>
                <w:rFonts w:ascii="Arial" w:eastAsia="Arial" w:hAnsi="Arial" w:cs="Arial"/>
                <w:sz w:val="18"/>
                <w:szCs w:val="18"/>
              </w:rPr>
              <w:t>zewodniczącym komitetu sterującego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 szczeblu kierowniczym.</w:t>
            </w:r>
          </w:p>
          <w:p w:rsidR="002F42E1" w:rsidRDefault="002D5F07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:rsidR="002F42E1" w:rsidRDefault="002D5F07">
      <w:pPr>
        <w:spacing w:before="24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Ryzyka wpływające na utrzymanie efektów projektu</w:t>
      </w:r>
    </w:p>
    <w:tbl>
      <w:tblPr>
        <w:tblStyle w:val="a6"/>
        <w:tblW w:w="10206" w:type="dxa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558"/>
        <w:gridCol w:w="1843"/>
        <w:gridCol w:w="4112"/>
      </w:tblGrid>
      <w:tr w:rsidR="002F42E1">
        <w:trPr>
          <w:trHeight w:val="724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2F42E1" w:rsidRDefault="002D5F07">
            <w:pP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2F42E1">
        <w:trPr>
          <w:trHeight w:val="724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42E1" w:rsidRDefault="002D5F07">
            <w:pP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42E1" w:rsidRDefault="002D5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:rsidR="002F42E1" w:rsidRDefault="002D5F07">
      <w:pPr>
        <w:numPr>
          <w:ilvl w:val="0"/>
          <w:numId w:val="3"/>
        </w:numPr>
        <w:spacing w:before="360" w:after="160" w:line="25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:rsidR="002F42E1" w:rsidRDefault="002D5F07">
      <w:p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 DOTYCZY</w:t>
      </w:r>
    </w:p>
    <w:p w:rsidR="002F42E1" w:rsidRDefault="002D5F07">
      <w:pPr>
        <w:numPr>
          <w:ilvl w:val="0"/>
          <w:numId w:val="3"/>
        </w:numPr>
        <w:spacing w:before="360" w:after="160" w:line="25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Dane kontaktowe</w:t>
      </w:r>
    </w:p>
    <w:p w:rsidR="002F42E1" w:rsidRDefault="002D5F0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7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:rsidR="002F42E1" w:rsidRDefault="002D5F0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:rsidR="002F42E1" w:rsidRDefault="002D5F0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:rsidR="002F42E1" w:rsidRDefault="002D5F0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sectPr w:rsidR="002F42E1">
      <w:footerReference w:type="default" r:id="rId8"/>
      <w:pgSz w:w="11906" w:h="16838"/>
      <w:pgMar w:top="861" w:right="1428" w:bottom="776" w:left="1427" w:header="0" w:footer="7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07" w:rsidRDefault="002D5F07">
      <w:pPr>
        <w:spacing w:before="0" w:after="0" w:line="240" w:lineRule="auto"/>
      </w:pPr>
      <w:r>
        <w:separator/>
      </w:r>
    </w:p>
  </w:endnote>
  <w:endnote w:type="continuationSeparator" w:id="0">
    <w:p w:rsidR="002D5F07" w:rsidRDefault="002D5F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E1" w:rsidRDefault="002D5F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52AEB">
      <w:rPr>
        <w:color w:val="000000"/>
      </w:rPr>
      <w:fldChar w:fldCharType="separate"/>
    </w:r>
    <w:r w:rsidR="00652AEB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07" w:rsidRDefault="002D5F07">
      <w:pPr>
        <w:spacing w:before="0" w:after="0" w:line="240" w:lineRule="auto"/>
      </w:pPr>
      <w:r>
        <w:separator/>
      </w:r>
    </w:p>
  </w:footnote>
  <w:footnote w:type="continuationSeparator" w:id="0">
    <w:p w:rsidR="002D5F07" w:rsidRDefault="002D5F07">
      <w:pPr>
        <w:spacing w:before="0" w:after="0" w:line="240" w:lineRule="auto"/>
      </w:pPr>
      <w:r>
        <w:continuationSeparator/>
      </w:r>
    </w:p>
  </w:footnote>
  <w:footnote w:id="1">
    <w:p w:rsidR="002F42E1" w:rsidRDefault="002D5F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B7E6E"/>
    <w:multiLevelType w:val="multilevel"/>
    <w:tmpl w:val="3416B12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24E0B8E"/>
    <w:multiLevelType w:val="multilevel"/>
    <w:tmpl w:val="08D064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77E6084F"/>
    <w:multiLevelType w:val="multilevel"/>
    <w:tmpl w:val="ED20A58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E1"/>
    <w:rsid w:val="002D5F07"/>
    <w:rsid w:val="002F42E1"/>
    <w:rsid w:val="0065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87C0C-06FA-439A-912D-071717FA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ind w:left="432" w:hanging="432"/>
      <w:outlineLvl w:val="0"/>
    </w:pPr>
    <w:rPr>
      <w:smallCaps/>
      <w:color w:val="FFFFFF"/>
      <w:sz w:val="22"/>
      <w:szCs w:val="22"/>
    </w:rPr>
  </w:style>
  <w:style w:type="paragraph" w:styleId="Nagwek2">
    <w:name w:val="heading 2"/>
    <w:basedOn w:val="Normalny"/>
    <w:next w:val="Normalny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ind w:left="576" w:hanging="576"/>
      <w:outlineLvl w:val="1"/>
    </w:pPr>
    <w:rPr>
      <w:smallCaps/>
    </w:rPr>
  </w:style>
  <w:style w:type="paragraph" w:styleId="Nagwek3">
    <w:name w:val="heading 3"/>
    <w:basedOn w:val="Normalny"/>
    <w:next w:val="Normalny"/>
    <w:pPr>
      <w:pBdr>
        <w:top w:val="single" w:sz="6" w:space="2" w:color="5B9BD5"/>
      </w:pBdr>
      <w:spacing w:before="300" w:after="0"/>
      <w:ind w:left="720" w:hanging="720"/>
      <w:outlineLvl w:val="2"/>
    </w:pPr>
    <w:rPr>
      <w:smallCaps/>
      <w:color w:val="1F4D78"/>
    </w:rPr>
  </w:style>
  <w:style w:type="paragraph" w:styleId="Nagwek4">
    <w:name w:val="heading 4"/>
    <w:basedOn w:val="Normalny"/>
    <w:next w:val="Normalny"/>
    <w:pPr>
      <w:pBdr>
        <w:top w:val="single" w:sz="8" w:space="2" w:color="5B9BD5"/>
      </w:pBdr>
      <w:spacing w:before="200" w:after="0"/>
      <w:ind w:left="864" w:hanging="864"/>
      <w:outlineLvl w:val="3"/>
    </w:pPr>
    <w:rPr>
      <w:smallCaps/>
      <w:color w:val="2E74B5"/>
    </w:rPr>
  </w:style>
  <w:style w:type="paragraph" w:styleId="Nagwek5">
    <w:name w:val="heading 5"/>
    <w:basedOn w:val="Normalny"/>
    <w:next w:val="Normalny"/>
    <w:pPr>
      <w:pBdr>
        <w:bottom w:val="single" w:sz="6" w:space="1" w:color="5B9BD5"/>
      </w:pBdr>
      <w:spacing w:before="200" w:after="0"/>
      <w:ind w:left="1008" w:hanging="1008"/>
      <w:outlineLvl w:val="4"/>
    </w:pPr>
    <w:rPr>
      <w:smallCaps/>
      <w:color w:val="2E74B5"/>
    </w:rPr>
  </w:style>
  <w:style w:type="paragraph" w:styleId="Nagwek6">
    <w:name w:val="heading 6"/>
    <w:basedOn w:val="Normalny"/>
    <w:next w:val="Normalny"/>
    <w:pPr>
      <w:pBdr>
        <w:bottom w:val="single" w:sz="8" w:space="1" w:color="5B9BD5"/>
      </w:pBdr>
      <w:spacing w:before="200" w:after="0"/>
      <w:ind w:left="1152" w:hanging="1152"/>
      <w:outlineLvl w:val="5"/>
    </w:pPr>
    <w:rPr>
      <w:smallCap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0" w:after="0"/>
    </w:pPr>
    <w:rPr>
      <w:b/>
      <w:smallCaps/>
      <w:color w:val="5B9BD5"/>
      <w:sz w:val="52"/>
      <w:szCs w:val="52"/>
    </w:rPr>
  </w:style>
  <w:style w:type="paragraph" w:styleId="Podtytu">
    <w:name w:val="Subtitle"/>
    <w:basedOn w:val="Normalny"/>
    <w:next w:val="Normalny"/>
    <w:pPr>
      <w:spacing w:before="0" w:after="500" w:line="240" w:lineRule="auto"/>
    </w:pPr>
    <w:rPr>
      <w:i/>
      <w:smallCaps/>
      <w:color w:val="595959"/>
      <w:sz w:val="21"/>
      <w:szCs w:val="21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tabak@mnw.ar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1571</Words>
  <Characters>9428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Guzowski</dc:creator>
  <cp:lastModifiedBy>Krzysztof Guzowski</cp:lastModifiedBy>
  <cp:revision>2</cp:revision>
  <dcterms:created xsi:type="dcterms:W3CDTF">2020-04-29T07:22:00Z</dcterms:created>
  <dcterms:modified xsi:type="dcterms:W3CDTF">2020-04-29T07:22:00Z</dcterms:modified>
</cp:coreProperties>
</file>